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5D5" w:rsidRDefault="003605D5">
      <w:bookmarkStart w:id="0" w:name="_GoBack"/>
      <w:bookmarkEnd w:id="0"/>
    </w:p>
    <w:p w:rsidR="003605D5" w:rsidRDefault="003605D5">
      <w:pPr>
        <w:rPr>
          <w:b/>
        </w:rPr>
      </w:pPr>
    </w:p>
    <w:tbl>
      <w:tblPr>
        <w:tblStyle w:val="Grilledutableau"/>
        <w:tblW w:w="9062" w:type="dxa"/>
        <w:tblLook w:val="04A0" w:firstRow="1" w:lastRow="0" w:firstColumn="1" w:lastColumn="0" w:noHBand="0" w:noVBand="1"/>
      </w:tblPr>
      <w:tblGrid>
        <w:gridCol w:w="9062"/>
      </w:tblGrid>
      <w:tr w:rsidR="003605D5">
        <w:tc>
          <w:tcPr>
            <w:tcW w:w="9062" w:type="dxa"/>
            <w:shd w:val="clear" w:color="auto" w:fill="auto"/>
            <w:tcMar>
              <w:left w:w="108" w:type="dxa"/>
            </w:tcMar>
          </w:tcPr>
          <w:p w:rsidR="003605D5" w:rsidRDefault="003605D5">
            <w:pPr>
              <w:spacing w:after="0"/>
              <w:rPr>
                <w:rFonts w:ascii="Times New Roman" w:hAnsi="Times New Roman" w:cs="Times New Roman"/>
              </w:rPr>
            </w:pPr>
          </w:p>
          <w:p w:rsidR="003605D5" w:rsidRDefault="00CA7B64">
            <w:pPr>
              <w:spacing w:after="0"/>
              <w:jc w:val="center"/>
              <w:rPr>
                <w:rFonts w:ascii="Times New Roman" w:hAnsi="Times New Roman" w:cs="Times New Roman"/>
                <w:b/>
              </w:rPr>
            </w:pPr>
            <w:r>
              <w:rPr>
                <w:rFonts w:ascii="Times New Roman" w:hAnsi="Times New Roman" w:cs="Times New Roman"/>
                <w:b/>
              </w:rPr>
              <w:t>Participation du public – Motifs de la décision</w:t>
            </w:r>
          </w:p>
          <w:p w:rsidR="003605D5" w:rsidRDefault="003605D5">
            <w:pPr>
              <w:spacing w:after="0"/>
              <w:jc w:val="center"/>
              <w:rPr>
                <w:rFonts w:ascii="Times New Roman" w:hAnsi="Times New Roman" w:cs="Times New Roman"/>
                <w:b/>
              </w:rPr>
            </w:pPr>
          </w:p>
        </w:tc>
      </w:tr>
    </w:tbl>
    <w:p w:rsidR="003605D5" w:rsidRDefault="003605D5">
      <w:pPr>
        <w:rPr>
          <w:rFonts w:ascii="Times New Roman" w:hAnsi="Times New Roman" w:cs="Times New Roman"/>
          <w:b/>
        </w:rPr>
      </w:pPr>
    </w:p>
    <w:tbl>
      <w:tblPr>
        <w:tblStyle w:val="Grilledutableau"/>
        <w:tblW w:w="9062" w:type="dxa"/>
        <w:tblLook w:val="04A0" w:firstRow="1" w:lastRow="0" w:firstColumn="1" w:lastColumn="0" w:noHBand="0" w:noVBand="1"/>
      </w:tblPr>
      <w:tblGrid>
        <w:gridCol w:w="9062"/>
      </w:tblGrid>
      <w:tr w:rsidR="003605D5">
        <w:trPr>
          <w:trHeight w:val="892"/>
        </w:trPr>
        <w:tc>
          <w:tcPr>
            <w:tcW w:w="9062" w:type="dxa"/>
            <w:shd w:val="clear" w:color="auto" w:fill="auto"/>
            <w:tcMar>
              <w:left w:w="108" w:type="dxa"/>
            </w:tcMar>
          </w:tcPr>
          <w:p w:rsidR="003605D5" w:rsidRDefault="003605D5">
            <w:pPr>
              <w:pStyle w:val="western"/>
              <w:spacing w:before="280" w:after="0"/>
              <w:jc w:val="center"/>
              <w:rPr>
                <w:b/>
                <w:bCs/>
              </w:rPr>
            </w:pPr>
          </w:p>
          <w:p w:rsidR="003605D5" w:rsidRDefault="00CA7B64">
            <w:pPr>
              <w:pStyle w:val="western"/>
              <w:spacing w:before="280" w:after="0"/>
              <w:jc w:val="center"/>
              <w:rPr>
                <w:b/>
                <w:bCs/>
              </w:rPr>
            </w:pPr>
            <w:r>
              <w:rPr>
                <w:b/>
                <w:bCs/>
              </w:rPr>
              <w:t xml:space="preserve">Projet d'arrêté portant dérogation à l’interdiction d’utilisation de produits phytopharmaceutiques contenant une ou des substances actives de la famille des néonicotinoïdes </w:t>
            </w:r>
            <w:r w:rsidR="00271580">
              <w:rPr>
                <w:b/>
                <w:bCs/>
              </w:rPr>
              <w:t xml:space="preserve">et des semences traitées avec ces produits </w:t>
            </w:r>
            <w:r w:rsidR="00D92E90">
              <w:rPr>
                <w:b/>
                <w:bCs/>
              </w:rPr>
              <w:t>mentionnée à l’article L.</w:t>
            </w:r>
            <w:r>
              <w:rPr>
                <w:b/>
                <w:bCs/>
              </w:rPr>
              <w:t>253-8 du code rural et de la pêche maritime</w:t>
            </w:r>
          </w:p>
          <w:p w:rsidR="003605D5" w:rsidRDefault="00CA7B64">
            <w:pPr>
              <w:pStyle w:val="western"/>
              <w:spacing w:before="280" w:after="0"/>
              <w:jc w:val="center"/>
              <w:rPr>
                <w:b/>
                <w:bCs/>
              </w:rPr>
            </w:pPr>
            <w:r>
              <w:rPr>
                <w:b/>
                <w:bCs/>
              </w:rPr>
              <w:t>Soumis à participation du public du 21 mars au 11 avril 2019 sur le site du Ministère de l’agriculture et de l’alimentation</w:t>
            </w:r>
          </w:p>
          <w:p w:rsidR="003605D5" w:rsidRDefault="003605D5">
            <w:pPr>
              <w:spacing w:after="0"/>
              <w:jc w:val="center"/>
              <w:rPr>
                <w:rFonts w:ascii="Times New Roman" w:hAnsi="Times New Roman" w:cs="Times New Roman"/>
                <w:b/>
              </w:rPr>
            </w:pPr>
          </w:p>
        </w:tc>
      </w:tr>
    </w:tbl>
    <w:p w:rsidR="003605D5" w:rsidRDefault="003605D5">
      <w:pPr>
        <w:jc w:val="center"/>
        <w:rPr>
          <w:rFonts w:ascii="Times New Roman" w:hAnsi="Times New Roman" w:cs="Times New Roman"/>
          <w:b/>
        </w:rPr>
      </w:pPr>
    </w:p>
    <w:p w:rsidR="003605D5" w:rsidRDefault="003605D5">
      <w:pPr>
        <w:jc w:val="center"/>
        <w:rPr>
          <w:rFonts w:ascii="Times New Roman" w:hAnsi="Times New Roman" w:cs="Times New Roman"/>
          <w:b/>
        </w:rPr>
      </w:pPr>
    </w:p>
    <w:p w:rsidR="003605D5" w:rsidRDefault="00CA7B64">
      <w:pPr>
        <w:jc w:val="center"/>
        <w:rPr>
          <w:rFonts w:ascii="Times New Roman" w:hAnsi="Times New Roman" w:cs="Times New Roman"/>
          <w:b/>
          <w:u w:val="single"/>
        </w:rPr>
      </w:pPr>
      <w:r>
        <w:rPr>
          <w:rFonts w:ascii="Times New Roman" w:hAnsi="Times New Roman" w:cs="Times New Roman"/>
          <w:b/>
          <w:u w:val="single"/>
        </w:rPr>
        <w:t xml:space="preserve">Objet : </w:t>
      </w:r>
    </w:p>
    <w:p w:rsidR="002C318F" w:rsidRDefault="00CA7B64" w:rsidP="00835E0E">
      <w:pPr>
        <w:spacing w:after="0" w:line="276" w:lineRule="auto"/>
        <w:jc w:val="both"/>
        <w:rPr>
          <w:rFonts w:ascii="Times New Roman" w:hAnsi="Times New Roman" w:cs="Times New Roman"/>
          <w:bCs/>
        </w:rPr>
      </w:pPr>
      <w:r>
        <w:rPr>
          <w:rFonts w:ascii="Times New Roman" w:hAnsi="Times New Roman" w:cs="Times New Roman"/>
        </w:rPr>
        <w:t>Ce</w:t>
      </w:r>
      <w:r w:rsidR="00A34525">
        <w:rPr>
          <w:rFonts w:ascii="Times New Roman" w:hAnsi="Times New Roman" w:cs="Times New Roman"/>
        </w:rPr>
        <w:t xml:space="preserve"> document </w:t>
      </w:r>
      <w:r w:rsidR="002C318F">
        <w:rPr>
          <w:rFonts w:ascii="Times New Roman" w:hAnsi="Times New Roman" w:cs="Times New Roman"/>
        </w:rPr>
        <w:t xml:space="preserve">analyse les principales observations transmises lors de la </w:t>
      </w:r>
      <w:r>
        <w:rPr>
          <w:rFonts w:ascii="Times New Roman" w:hAnsi="Times New Roman" w:cs="Times New Roman"/>
        </w:rPr>
        <w:t xml:space="preserve">consultation du public réalisée </w:t>
      </w:r>
      <w:r w:rsidR="00271580">
        <w:rPr>
          <w:rFonts w:ascii="Times New Roman" w:hAnsi="Times New Roman" w:cs="Times New Roman"/>
        </w:rPr>
        <w:t xml:space="preserve">du 21 mars au 11 avril 2019 </w:t>
      </w:r>
      <w:r w:rsidR="00D92E90">
        <w:rPr>
          <w:rFonts w:ascii="Times New Roman" w:hAnsi="Times New Roman" w:cs="Times New Roman"/>
        </w:rPr>
        <w:t>en application de l’article L.</w:t>
      </w:r>
      <w:r>
        <w:rPr>
          <w:rFonts w:ascii="Times New Roman" w:hAnsi="Times New Roman" w:cs="Times New Roman"/>
        </w:rPr>
        <w:t>123-19-1 du code de l’environnement sur le projet d</w:t>
      </w:r>
      <w:r w:rsidR="00271580">
        <w:rPr>
          <w:rFonts w:ascii="Times New Roman" w:hAnsi="Times New Roman" w:cs="Times New Roman"/>
        </w:rPr>
        <w:t xml:space="preserve">’arrêté instaurant une </w:t>
      </w:r>
      <w:r>
        <w:rPr>
          <w:rFonts w:ascii="Times New Roman" w:hAnsi="Times New Roman" w:cs="Times New Roman"/>
          <w:bCs/>
        </w:rPr>
        <w:t xml:space="preserve">dérogation à l’interdiction d’utilisation de produits phytopharmaceutiques contenant une ou des substances actives de la famille des néonicotinoïdes </w:t>
      </w:r>
      <w:r w:rsidR="00271580">
        <w:rPr>
          <w:rFonts w:ascii="Times New Roman" w:hAnsi="Times New Roman" w:cs="Times New Roman"/>
          <w:bCs/>
        </w:rPr>
        <w:t xml:space="preserve">et des semences traitées avec ces produits </w:t>
      </w:r>
      <w:r>
        <w:rPr>
          <w:rFonts w:ascii="Times New Roman" w:hAnsi="Times New Roman" w:cs="Times New Roman"/>
          <w:bCs/>
        </w:rPr>
        <w:t xml:space="preserve">mentionnée à l’article L.253-8 du code rural et de la pêche maritime (CRPM). </w:t>
      </w:r>
    </w:p>
    <w:p w:rsidR="005A426F" w:rsidRDefault="005A426F">
      <w:pPr>
        <w:spacing w:after="0" w:line="276" w:lineRule="auto"/>
        <w:jc w:val="both"/>
        <w:rPr>
          <w:rFonts w:ascii="Times New Roman" w:hAnsi="Times New Roman" w:cs="Times New Roman"/>
          <w:bCs/>
        </w:rPr>
      </w:pPr>
    </w:p>
    <w:p w:rsidR="003605D5" w:rsidRDefault="003605D5">
      <w:pPr>
        <w:spacing w:after="0" w:line="276" w:lineRule="auto"/>
        <w:jc w:val="both"/>
        <w:rPr>
          <w:rFonts w:ascii="Times New Roman" w:hAnsi="Times New Roman" w:cs="Times New Roman"/>
          <w:bCs/>
        </w:rPr>
      </w:pPr>
    </w:p>
    <w:tbl>
      <w:tblPr>
        <w:tblStyle w:val="Grilledutableau"/>
        <w:tblW w:w="9062" w:type="dxa"/>
        <w:tblLook w:val="04A0" w:firstRow="1" w:lastRow="0" w:firstColumn="1" w:lastColumn="0" w:noHBand="0" w:noVBand="1"/>
      </w:tblPr>
      <w:tblGrid>
        <w:gridCol w:w="2208"/>
        <w:gridCol w:w="6854"/>
      </w:tblGrid>
      <w:tr w:rsidR="003605D5" w:rsidTr="002C318F">
        <w:tc>
          <w:tcPr>
            <w:tcW w:w="2208" w:type="dxa"/>
            <w:shd w:val="clear" w:color="auto" w:fill="auto"/>
            <w:tcMar>
              <w:left w:w="108" w:type="dxa"/>
            </w:tcMar>
          </w:tcPr>
          <w:p w:rsidR="00A34525" w:rsidRDefault="00A34525" w:rsidP="00A34525">
            <w:pPr>
              <w:spacing w:after="0" w:line="276" w:lineRule="auto"/>
              <w:jc w:val="center"/>
              <w:rPr>
                <w:rFonts w:ascii="Times New Roman" w:hAnsi="Times New Roman" w:cs="Times New Roman"/>
              </w:rPr>
            </w:pPr>
          </w:p>
          <w:p w:rsidR="003605D5" w:rsidRDefault="003253F9" w:rsidP="00A34525">
            <w:pPr>
              <w:spacing w:after="0" w:line="276" w:lineRule="auto"/>
              <w:jc w:val="center"/>
              <w:rPr>
                <w:rFonts w:ascii="Times New Roman" w:hAnsi="Times New Roman" w:cs="Times New Roman"/>
              </w:rPr>
            </w:pPr>
            <w:r>
              <w:rPr>
                <w:rFonts w:ascii="Times New Roman" w:hAnsi="Times New Roman" w:cs="Times New Roman"/>
              </w:rPr>
              <w:t>In</w:t>
            </w:r>
            <w:r w:rsidR="00CA7B64">
              <w:rPr>
                <w:rFonts w:ascii="Times New Roman" w:hAnsi="Times New Roman" w:cs="Times New Roman"/>
              </w:rPr>
              <w:t>terdiction des néonicotinoides</w:t>
            </w:r>
            <w:r w:rsidR="001F594E">
              <w:rPr>
                <w:rFonts w:ascii="Times New Roman" w:hAnsi="Times New Roman" w:cs="Times New Roman"/>
              </w:rPr>
              <w:t xml:space="preserve"> et octroi de dérogations</w:t>
            </w:r>
          </w:p>
        </w:tc>
        <w:tc>
          <w:tcPr>
            <w:tcW w:w="6854" w:type="dxa"/>
            <w:shd w:val="clear" w:color="auto" w:fill="auto"/>
            <w:tcMar>
              <w:left w:w="108" w:type="dxa"/>
            </w:tcMar>
          </w:tcPr>
          <w:p w:rsidR="00A34525" w:rsidRDefault="00A34525" w:rsidP="00A34525">
            <w:pPr>
              <w:spacing w:after="0" w:line="276" w:lineRule="auto"/>
              <w:jc w:val="both"/>
              <w:rPr>
                <w:rFonts w:ascii="Times New Roman" w:hAnsi="Times New Roman" w:cs="Times New Roman"/>
              </w:rPr>
            </w:pPr>
          </w:p>
          <w:p w:rsidR="003253F9" w:rsidRDefault="00CA7B64" w:rsidP="00A34525">
            <w:pPr>
              <w:spacing w:after="0" w:line="276" w:lineRule="auto"/>
              <w:jc w:val="both"/>
              <w:rPr>
                <w:rFonts w:ascii="Times New Roman" w:hAnsi="Times New Roman" w:cs="Times New Roman"/>
              </w:rPr>
            </w:pPr>
            <w:r>
              <w:rPr>
                <w:rFonts w:ascii="Times New Roman" w:hAnsi="Times New Roman" w:cs="Times New Roman"/>
              </w:rPr>
              <w:t xml:space="preserve">Le législateur a adopté l’article 125 de la loi du 8 aout 2016 interdisant « l’utilisation de produits phytopharmaceutiques contenant une ou des substances actives de la famille des néonicotinoides </w:t>
            </w:r>
            <w:r w:rsidR="001F594E">
              <w:rPr>
                <w:rFonts w:ascii="Times New Roman" w:hAnsi="Times New Roman" w:cs="Times New Roman"/>
              </w:rPr>
              <w:t>et des semences traitées avec ces produits »</w:t>
            </w:r>
            <w:r>
              <w:rPr>
                <w:rFonts w:ascii="Times New Roman" w:hAnsi="Times New Roman" w:cs="Times New Roman"/>
              </w:rPr>
              <w:t xml:space="preserve">. L’article D.253-46-1 </w:t>
            </w:r>
            <w:r w:rsidR="001F594E">
              <w:rPr>
                <w:rFonts w:ascii="Times New Roman" w:hAnsi="Times New Roman" w:cs="Times New Roman"/>
              </w:rPr>
              <w:t xml:space="preserve">du CRPM mentionne </w:t>
            </w:r>
            <w:r>
              <w:rPr>
                <w:rFonts w:ascii="Times New Roman" w:hAnsi="Times New Roman" w:cs="Times New Roman"/>
              </w:rPr>
              <w:t xml:space="preserve">les substances actives concernées par </w:t>
            </w:r>
            <w:r w:rsidR="00582812">
              <w:rPr>
                <w:rFonts w:ascii="Times New Roman" w:hAnsi="Times New Roman" w:cs="Times New Roman"/>
              </w:rPr>
              <w:t>l’</w:t>
            </w:r>
            <w:r>
              <w:rPr>
                <w:rFonts w:ascii="Times New Roman" w:hAnsi="Times New Roman" w:cs="Times New Roman"/>
              </w:rPr>
              <w:t xml:space="preserve">interdiction. </w:t>
            </w:r>
          </w:p>
          <w:p w:rsidR="003253F9" w:rsidRDefault="003253F9" w:rsidP="00A34525">
            <w:pPr>
              <w:spacing w:after="0" w:line="276" w:lineRule="auto"/>
              <w:jc w:val="both"/>
              <w:rPr>
                <w:rFonts w:ascii="Times New Roman" w:hAnsi="Times New Roman" w:cs="Times New Roman"/>
              </w:rPr>
            </w:pPr>
          </w:p>
          <w:p w:rsidR="00582812" w:rsidRDefault="00CA7B64" w:rsidP="00582812">
            <w:pPr>
              <w:spacing w:after="0" w:line="276" w:lineRule="auto"/>
              <w:jc w:val="both"/>
              <w:rPr>
                <w:rFonts w:ascii="Times New Roman" w:eastAsia="Lucida Sans Unicode" w:hAnsi="Times New Roman" w:cs="Liberation Sans"/>
                <w:color w:val="00000A"/>
                <w:lang w:eastAsia="fr-FR"/>
              </w:rPr>
            </w:pPr>
            <w:r>
              <w:rPr>
                <w:rFonts w:ascii="Times New Roman" w:hAnsi="Times New Roman" w:cs="Times New Roman"/>
              </w:rPr>
              <w:t xml:space="preserve">Cependant, </w:t>
            </w:r>
            <w:r w:rsidR="00D92E90">
              <w:rPr>
                <w:rFonts w:ascii="Times New Roman" w:hAnsi="Times New Roman" w:cs="Times New Roman"/>
              </w:rPr>
              <w:t>l’article L.</w:t>
            </w:r>
            <w:r w:rsidR="001F594E">
              <w:rPr>
                <w:rFonts w:ascii="Times New Roman" w:hAnsi="Times New Roman" w:cs="Times New Roman"/>
              </w:rPr>
              <w:t xml:space="preserve">253-8 du CRPM prévoit </w:t>
            </w:r>
            <w:r w:rsidR="001F594E" w:rsidRPr="001F594E">
              <w:rPr>
                <w:rFonts w:ascii="Times New Roman" w:eastAsia="Lucida Sans Unicode" w:hAnsi="Times New Roman" w:cs="Liberation Sans"/>
                <w:color w:val="00000A"/>
                <w:sz w:val="24"/>
                <w:szCs w:val="24"/>
                <w:lang w:eastAsia="fr-FR"/>
              </w:rPr>
              <w:t xml:space="preserve">que des dérogations </w:t>
            </w:r>
            <w:r w:rsidR="00582812">
              <w:rPr>
                <w:rFonts w:ascii="Times New Roman" w:eastAsia="Lucida Sans Unicode" w:hAnsi="Times New Roman" w:cs="Liberation Sans"/>
                <w:color w:val="00000A"/>
                <w:sz w:val="24"/>
                <w:szCs w:val="24"/>
                <w:lang w:eastAsia="fr-FR"/>
              </w:rPr>
              <w:t>p</w:t>
            </w:r>
            <w:r w:rsidR="001F594E" w:rsidRPr="001F594E">
              <w:rPr>
                <w:rFonts w:ascii="Times New Roman" w:eastAsia="Lucida Sans Unicode" w:hAnsi="Times New Roman" w:cs="Liberation Sans"/>
                <w:color w:val="00000A"/>
                <w:sz w:val="24"/>
                <w:szCs w:val="24"/>
                <w:lang w:eastAsia="fr-FR"/>
              </w:rPr>
              <w:t xml:space="preserve">uissent être octroyées jusqu’au 1er juillet 2020 par arrêté conjoint des ministres chargés de l’agriculture, de l’environnement et de la santé. L'arrêté doit être pris sur la base d’un bilan établi par l’Agence nationale de sécurité sanitaire de </w:t>
            </w:r>
            <w:r w:rsidR="001F594E" w:rsidRPr="001F594E">
              <w:rPr>
                <w:rFonts w:ascii="Times New Roman" w:eastAsia="Lucida Sans Unicode" w:hAnsi="Times New Roman" w:cs="Liberation Sans"/>
                <w:color w:val="00000A"/>
                <w:lang w:eastAsia="fr-FR"/>
              </w:rPr>
              <w:t xml:space="preserve">l’alimentation, de l’environnement et du travail (Anses). </w:t>
            </w:r>
          </w:p>
          <w:p w:rsidR="00582812" w:rsidRDefault="00582812" w:rsidP="00582812">
            <w:pPr>
              <w:spacing w:after="0" w:line="276" w:lineRule="auto"/>
              <w:jc w:val="both"/>
              <w:rPr>
                <w:rFonts w:ascii="Times New Roman" w:eastAsia="Lucida Sans Unicode" w:hAnsi="Times New Roman" w:cs="Liberation Sans"/>
                <w:color w:val="00000A"/>
                <w:lang w:eastAsia="fr-FR"/>
              </w:rPr>
            </w:pPr>
          </w:p>
          <w:p w:rsidR="00582812" w:rsidRDefault="00582812" w:rsidP="00835E0E">
            <w:pPr>
              <w:spacing w:after="0" w:line="276" w:lineRule="auto"/>
              <w:jc w:val="both"/>
              <w:rPr>
                <w:rFonts w:ascii="Times New Roman" w:eastAsia="Lucida Sans Unicode" w:hAnsi="Times New Roman" w:cs="Liberation Sans"/>
                <w:color w:val="00000A"/>
                <w:lang w:eastAsia="fr-FR"/>
              </w:rPr>
            </w:pPr>
          </w:p>
          <w:p w:rsidR="001F594E" w:rsidRPr="001F594E" w:rsidRDefault="001F594E" w:rsidP="00835E0E">
            <w:pPr>
              <w:spacing w:after="0" w:line="276" w:lineRule="auto"/>
              <w:jc w:val="both"/>
              <w:rPr>
                <w:rFonts w:ascii="Times New Roman" w:eastAsia="Lucida Sans Unicode" w:hAnsi="Times New Roman" w:cs="Liberation Sans"/>
                <w:color w:val="00000A"/>
                <w:lang w:eastAsia="fr-FR"/>
              </w:rPr>
            </w:pPr>
            <w:r w:rsidRPr="001F594E">
              <w:rPr>
                <w:rFonts w:ascii="Times New Roman" w:eastAsia="Lucida Sans Unicode" w:hAnsi="Times New Roman" w:cs="Liberation Sans"/>
                <w:color w:val="00000A"/>
                <w:lang w:eastAsia="fr-FR"/>
              </w:rPr>
              <w:t>Ce bilan « relatif à l'évaluation mettant en balance les risques et les bénéfices relatifs d'autres produits phytopharmaceutiques autorisés ou des méthodes non chimiques de prévention ou de lutte pour les usages autorisés en France des produits phytopharmaceutiques comportant des néonicotinoïdes » a été publié par l'Anses le 7 mai 2018.</w:t>
            </w:r>
          </w:p>
          <w:p w:rsidR="001F594E" w:rsidRPr="001F594E" w:rsidRDefault="001F594E" w:rsidP="00835E0E">
            <w:pPr>
              <w:spacing w:after="0" w:line="276" w:lineRule="auto"/>
              <w:jc w:val="both"/>
              <w:rPr>
                <w:rFonts w:ascii="Times New Roman" w:hAnsi="Times New Roman" w:cs="Times New Roman"/>
              </w:rPr>
            </w:pPr>
          </w:p>
          <w:p w:rsidR="004C1974" w:rsidRDefault="00E76514" w:rsidP="00835E0E">
            <w:pPr>
              <w:spacing w:after="0" w:line="276" w:lineRule="auto"/>
              <w:jc w:val="both"/>
              <w:rPr>
                <w:rFonts w:ascii="Times New Roman" w:hAnsi="Times New Roman" w:cs="Times New Roman"/>
              </w:rPr>
            </w:pPr>
            <w:r>
              <w:rPr>
                <w:rFonts w:ascii="Times New Roman" w:hAnsi="Times New Roman" w:cs="Times New Roman"/>
              </w:rPr>
              <w:t>Le projet d’arrêté s’inscrit dans les principes suivants :</w:t>
            </w:r>
          </w:p>
          <w:p w:rsidR="003253F9" w:rsidRDefault="003253F9" w:rsidP="00835E0E">
            <w:pPr>
              <w:spacing w:after="0" w:line="276" w:lineRule="auto"/>
              <w:jc w:val="both"/>
              <w:rPr>
                <w:rFonts w:ascii="Times New Roman" w:hAnsi="Times New Roman" w:cs="Times New Roman"/>
              </w:rPr>
            </w:pPr>
            <w:r>
              <w:rPr>
                <w:rFonts w:ascii="Times New Roman" w:hAnsi="Times New Roman" w:cs="Times New Roman"/>
              </w:rPr>
              <w:t xml:space="preserve"> </w:t>
            </w:r>
          </w:p>
          <w:p w:rsidR="003253F9" w:rsidRPr="00D92E90" w:rsidRDefault="003253F9" w:rsidP="00835E0E">
            <w:pPr>
              <w:widowControl w:val="0"/>
              <w:spacing w:after="0" w:line="276" w:lineRule="auto"/>
              <w:jc w:val="both"/>
              <w:rPr>
                <w:rFonts w:ascii="Liberation Sans" w:eastAsia="Lucida Sans Unicode" w:hAnsi="Liberation Sans" w:cs="Tahoma"/>
                <w:color w:val="00000A"/>
                <w:lang w:eastAsia="fr-FR"/>
              </w:rPr>
            </w:pPr>
            <w:r w:rsidRPr="00D92E90">
              <w:rPr>
                <w:rFonts w:ascii="Times New Roman" w:eastAsia="Lucida Sans Unicode" w:hAnsi="Times New Roman" w:cs="Tahoma"/>
                <w:color w:val="00000A"/>
                <w:lang w:eastAsia="fr-FR"/>
              </w:rPr>
              <w:t>1)</w:t>
            </w:r>
            <w:r w:rsidR="00D92E90">
              <w:rPr>
                <w:rFonts w:ascii="Times New Roman" w:eastAsia="Lucida Sans Unicode" w:hAnsi="Times New Roman" w:cs="Tahoma"/>
                <w:color w:val="00000A"/>
                <w:lang w:eastAsia="fr-FR"/>
              </w:rPr>
              <w:t xml:space="preserve"> L</w:t>
            </w:r>
            <w:r w:rsidR="00A34525" w:rsidRPr="00D92E90">
              <w:rPr>
                <w:rFonts w:ascii="Times New Roman" w:eastAsia="Lucida Sans Unicode" w:hAnsi="Times New Roman" w:cs="Tahoma"/>
                <w:color w:val="00000A"/>
                <w:lang w:eastAsia="fr-FR"/>
              </w:rPr>
              <w:t xml:space="preserve">es dérogations sont limitées aux cultures pour lesquelles, sur la base du bilan de </w:t>
            </w:r>
            <w:r w:rsidRPr="00D92E90">
              <w:rPr>
                <w:rFonts w:ascii="Times New Roman" w:eastAsia="Lucida Sans Unicode" w:hAnsi="Times New Roman" w:cs="Tahoma"/>
                <w:color w:val="00000A"/>
                <w:lang w:eastAsia="fr-FR"/>
              </w:rPr>
              <w:t xml:space="preserve">l'Anses, </w:t>
            </w:r>
            <w:r w:rsidR="00E76514" w:rsidRPr="00D92E90">
              <w:rPr>
                <w:rFonts w:ascii="Times New Roman" w:eastAsia="Lucida Sans Unicode" w:hAnsi="Times New Roman" w:cs="Tahoma"/>
                <w:color w:val="00000A"/>
                <w:lang w:eastAsia="fr-FR"/>
              </w:rPr>
              <w:t xml:space="preserve">la disponibilité en </w:t>
            </w:r>
            <w:r w:rsidRPr="00D92E90">
              <w:rPr>
                <w:rFonts w:ascii="Times New Roman" w:eastAsia="Lucida Sans Unicode" w:hAnsi="Times New Roman" w:cs="Tahoma"/>
                <w:color w:val="00000A"/>
                <w:lang w:eastAsia="fr-FR"/>
              </w:rPr>
              <w:t xml:space="preserve">alternatives chimiques et non chimiques </w:t>
            </w:r>
            <w:r w:rsidR="00A34525" w:rsidRPr="00D92E90">
              <w:rPr>
                <w:rFonts w:ascii="Times New Roman" w:eastAsia="Lucida Sans Unicode" w:hAnsi="Times New Roman" w:cs="Tahoma"/>
                <w:color w:val="00000A"/>
                <w:lang w:eastAsia="fr-FR"/>
              </w:rPr>
              <w:t xml:space="preserve">aux néonicotinoïdes </w:t>
            </w:r>
            <w:r w:rsidR="00E76514" w:rsidRPr="00D92E90">
              <w:rPr>
                <w:rFonts w:ascii="Times New Roman" w:eastAsia="Lucida Sans Unicode" w:hAnsi="Times New Roman" w:cs="Tahoma"/>
                <w:color w:val="00000A"/>
                <w:lang w:eastAsia="fr-FR"/>
              </w:rPr>
              <w:t xml:space="preserve">est </w:t>
            </w:r>
            <w:r w:rsidRPr="00D92E90">
              <w:rPr>
                <w:rFonts w:ascii="Times New Roman" w:eastAsia="Lucida Sans Unicode" w:hAnsi="Times New Roman" w:cs="Tahoma"/>
                <w:color w:val="00000A"/>
                <w:lang w:eastAsia="fr-FR"/>
              </w:rPr>
              <w:t>insuffisant</w:t>
            </w:r>
            <w:r w:rsidR="00E76514" w:rsidRPr="00D92E90">
              <w:rPr>
                <w:rFonts w:ascii="Times New Roman" w:eastAsia="Lucida Sans Unicode" w:hAnsi="Times New Roman" w:cs="Tahoma"/>
                <w:color w:val="00000A"/>
                <w:lang w:eastAsia="fr-FR"/>
              </w:rPr>
              <w:t>e</w:t>
            </w:r>
            <w:r w:rsidRPr="00D92E90">
              <w:rPr>
                <w:rFonts w:ascii="Times New Roman" w:eastAsia="Lucida Sans Unicode" w:hAnsi="Times New Roman" w:cs="Tahoma"/>
                <w:color w:val="00000A"/>
                <w:lang w:eastAsia="fr-FR"/>
              </w:rPr>
              <w:t xml:space="preserve">. </w:t>
            </w:r>
          </w:p>
          <w:p w:rsidR="003253F9" w:rsidRDefault="003253F9" w:rsidP="00835E0E">
            <w:pPr>
              <w:spacing w:after="0" w:line="276" w:lineRule="auto"/>
              <w:jc w:val="both"/>
              <w:rPr>
                <w:rFonts w:ascii="Times New Roman" w:hAnsi="Times New Roman" w:cs="Times New Roman"/>
              </w:rPr>
            </w:pPr>
          </w:p>
          <w:p w:rsidR="003253F9" w:rsidRDefault="003253F9" w:rsidP="00835E0E">
            <w:pPr>
              <w:spacing w:after="0" w:line="276" w:lineRule="auto"/>
              <w:jc w:val="both"/>
              <w:rPr>
                <w:rFonts w:ascii="Times New Roman" w:eastAsia="Lucida Sans Unicode" w:hAnsi="Times New Roman" w:cs="Times New Roman"/>
                <w:color w:val="00000A"/>
                <w:lang w:eastAsia="fr-FR"/>
              </w:rPr>
            </w:pPr>
            <w:r>
              <w:rPr>
                <w:rFonts w:ascii="Times New Roman" w:hAnsi="Times New Roman" w:cs="Times New Roman"/>
              </w:rPr>
              <w:t>2) L</w:t>
            </w:r>
            <w:r w:rsidR="001F594E" w:rsidRPr="003253F9">
              <w:rPr>
                <w:rFonts w:ascii="Times New Roman" w:hAnsi="Times New Roman" w:cs="Times New Roman"/>
              </w:rPr>
              <w:t xml:space="preserve">es </w:t>
            </w:r>
            <w:r w:rsidR="001F594E" w:rsidRPr="003253F9">
              <w:rPr>
                <w:rFonts w:ascii="Times New Roman" w:eastAsia="Lucida Sans Unicode" w:hAnsi="Times New Roman" w:cs="Tahoma"/>
                <w:color w:val="00000A"/>
                <w:lang w:eastAsia="fr-FR"/>
              </w:rPr>
              <w:t>dérogations ne concernent pas l'</w:t>
            </w:r>
            <w:r w:rsidR="001F594E" w:rsidRPr="003253F9">
              <w:rPr>
                <w:rFonts w:ascii="Times New Roman" w:eastAsia="Lucida Sans Unicode" w:hAnsi="Times New Roman" w:cs="Times New Roman"/>
                <w:color w:val="00000A"/>
                <w:lang w:eastAsia="fr-FR"/>
              </w:rPr>
              <w:t xml:space="preserve">imidaclopride, la clothianidine et le thiaméthoxame, dont les </w:t>
            </w:r>
            <w:r w:rsidR="001F594E" w:rsidRPr="003253F9">
              <w:rPr>
                <w:rFonts w:ascii="Times New Roman" w:eastAsia="Lucida Sans Unicode" w:hAnsi="Times New Roman" w:cs="Tahoma"/>
                <w:color w:val="00000A"/>
                <w:lang w:eastAsia="fr-FR"/>
              </w:rPr>
              <w:t>règlements d'exécution de la Commission (UE) n°</w:t>
            </w:r>
            <w:r w:rsidR="00D92E90">
              <w:rPr>
                <w:rFonts w:ascii="Times New Roman" w:eastAsia="Lucida Sans Unicode" w:hAnsi="Times New Roman" w:cs="Tahoma"/>
                <w:color w:val="00000A"/>
                <w:lang w:eastAsia="fr-FR"/>
              </w:rPr>
              <w:t xml:space="preserve"> </w:t>
            </w:r>
            <w:r w:rsidR="001F594E" w:rsidRPr="003253F9">
              <w:rPr>
                <w:rFonts w:ascii="Times New Roman" w:eastAsia="Lucida Sans Unicode" w:hAnsi="Times New Roman" w:cs="Tahoma"/>
                <w:color w:val="00000A"/>
                <w:lang w:eastAsia="fr-FR"/>
              </w:rPr>
              <w:t>2018/783, n°</w:t>
            </w:r>
            <w:r w:rsidR="00D92E90">
              <w:rPr>
                <w:rFonts w:ascii="Times New Roman" w:eastAsia="Lucida Sans Unicode" w:hAnsi="Times New Roman" w:cs="Tahoma"/>
                <w:color w:val="00000A"/>
                <w:lang w:eastAsia="fr-FR"/>
              </w:rPr>
              <w:t xml:space="preserve"> </w:t>
            </w:r>
            <w:r w:rsidR="001F594E" w:rsidRPr="003253F9">
              <w:rPr>
                <w:rFonts w:ascii="Times New Roman" w:eastAsia="Lucida Sans Unicode" w:hAnsi="Times New Roman" w:cs="Tahoma"/>
                <w:color w:val="00000A"/>
                <w:lang w:eastAsia="fr-FR"/>
              </w:rPr>
              <w:t>2018/784 et n°</w:t>
            </w:r>
            <w:r w:rsidR="00D92E90">
              <w:rPr>
                <w:rFonts w:ascii="Times New Roman" w:eastAsia="Lucida Sans Unicode" w:hAnsi="Times New Roman" w:cs="Tahoma"/>
                <w:color w:val="00000A"/>
                <w:lang w:eastAsia="fr-FR"/>
              </w:rPr>
              <w:t xml:space="preserve"> </w:t>
            </w:r>
            <w:r w:rsidR="001F594E" w:rsidRPr="003253F9">
              <w:rPr>
                <w:rFonts w:ascii="Times New Roman" w:eastAsia="Lucida Sans Unicode" w:hAnsi="Times New Roman" w:cs="Tahoma"/>
                <w:color w:val="00000A"/>
                <w:lang w:eastAsia="fr-FR"/>
              </w:rPr>
              <w:t xml:space="preserve">2018/785 du 29 mai 2018 </w:t>
            </w:r>
            <w:r w:rsidR="004C1974">
              <w:rPr>
                <w:rFonts w:ascii="Times New Roman" w:eastAsia="Lucida Sans Unicode" w:hAnsi="Times New Roman" w:cs="Tahoma"/>
                <w:color w:val="00000A"/>
                <w:lang w:eastAsia="fr-FR"/>
              </w:rPr>
              <w:t xml:space="preserve">ont </w:t>
            </w:r>
            <w:r w:rsidR="001F594E" w:rsidRPr="003253F9">
              <w:rPr>
                <w:rFonts w:ascii="Times New Roman" w:eastAsia="Lucida Sans Unicode" w:hAnsi="Times New Roman" w:cs="Tahoma"/>
                <w:color w:val="00000A"/>
                <w:lang w:eastAsia="fr-FR"/>
              </w:rPr>
              <w:t>restreint depuis le 19 décembre 2018 les utilisations aux</w:t>
            </w:r>
            <w:r w:rsidR="001F594E" w:rsidRPr="003253F9">
              <w:rPr>
                <w:rFonts w:ascii="Times New Roman" w:eastAsia="Lucida Sans Unicode" w:hAnsi="Times New Roman" w:cs="Times New Roman"/>
                <w:color w:val="00000A"/>
                <w:lang w:eastAsia="fr-FR"/>
              </w:rPr>
              <w:t xml:space="preserve"> cultures sous serre permanente pour les plantes effectuant l’intégralité de leur cycle de vie dans une serre permanente. </w:t>
            </w:r>
            <w:r w:rsidR="004C1974">
              <w:rPr>
                <w:rFonts w:ascii="Times New Roman" w:eastAsia="Lucida Sans Unicode" w:hAnsi="Times New Roman" w:cs="Times New Roman"/>
                <w:color w:val="00000A"/>
                <w:lang w:eastAsia="fr-FR"/>
              </w:rPr>
              <w:t xml:space="preserve">Il convient </w:t>
            </w:r>
            <w:r w:rsidR="004C1974">
              <w:rPr>
                <w:rFonts w:ascii="Times New Roman" w:eastAsia="Lucida Sans Unicode" w:hAnsi="Times New Roman" w:cs="Times New Roman"/>
                <w:color w:val="00000A"/>
                <w:lang w:eastAsia="fr-FR"/>
              </w:rPr>
              <w:lastRenderedPageBreak/>
              <w:t>d’ajouter que l</w:t>
            </w:r>
            <w:r w:rsidR="001F594E" w:rsidRPr="001F594E">
              <w:rPr>
                <w:rFonts w:ascii="Times New Roman" w:eastAsia="Lucida Sans Unicode" w:hAnsi="Times New Roman" w:cs="Times New Roman"/>
                <w:color w:val="00000A"/>
                <w:lang w:eastAsia="fr-FR"/>
              </w:rPr>
              <w:t>a clothianidine n’</w:t>
            </w:r>
            <w:r w:rsidR="004C1974">
              <w:rPr>
                <w:rFonts w:ascii="Times New Roman" w:eastAsia="Lucida Sans Unicode" w:hAnsi="Times New Roman" w:cs="Times New Roman"/>
                <w:color w:val="00000A"/>
                <w:lang w:eastAsia="fr-FR"/>
              </w:rPr>
              <w:t>a p</w:t>
            </w:r>
            <w:r w:rsidR="001F594E" w:rsidRPr="001F594E">
              <w:rPr>
                <w:rFonts w:ascii="Times New Roman" w:eastAsia="Lucida Sans Unicode" w:hAnsi="Times New Roman" w:cs="Times New Roman"/>
                <w:color w:val="00000A"/>
                <w:lang w:eastAsia="fr-FR"/>
              </w:rPr>
              <w:t xml:space="preserve">lus d’approbation européenne depuis le 31 janvier 2019 et </w:t>
            </w:r>
            <w:r w:rsidR="004C1974">
              <w:rPr>
                <w:rFonts w:ascii="Times New Roman" w:eastAsia="Lucida Sans Unicode" w:hAnsi="Times New Roman" w:cs="Times New Roman"/>
                <w:color w:val="00000A"/>
                <w:lang w:eastAsia="fr-FR"/>
              </w:rPr>
              <w:t xml:space="preserve">que </w:t>
            </w:r>
            <w:r w:rsidR="001F594E" w:rsidRPr="001F594E">
              <w:rPr>
                <w:rFonts w:ascii="Times New Roman" w:eastAsia="Lucida Sans Unicode" w:hAnsi="Times New Roman" w:cs="Times New Roman"/>
                <w:color w:val="00000A"/>
                <w:lang w:eastAsia="fr-FR"/>
              </w:rPr>
              <w:t xml:space="preserve">l’approbation européenne du thiamethoxame expirera le 30 avril 2019. </w:t>
            </w:r>
          </w:p>
          <w:p w:rsidR="003253F9" w:rsidRDefault="003253F9" w:rsidP="00835E0E">
            <w:pPr>
              <w:spacing w:after="0" w:line="276" w:lineRule="auto"/>
              <w:jc w:val="both"/>
              <w:rPr>
                <w:rFonts w:ascii="Times New Roman" w:eastAsia="Lucida Sans Unicode" w:hAnsi="Times New Roman" w:cs="Tahoma"/>
                <w:color w:val="00000A"/>
                <w:lang w:eastAsia="fr-FR"/>
              </w:rPr>
            </w:pPr>
          </w:p>
          <w:p w:rsidR="001F594E" w:rsidRDefault="003253F9" w:rsidP="00835E0E">
            <w:pPr>
              <w:spacing w:after="0" w:line="276" w:lineRule="auto"/>
              <w:jc w:val="both"/>
              <w:rPr>
                <w:rFonts w:ascii="Times New Roman" w:eastAsia="Lucida Sans Unicode" w:hAnsi="Times New Roman" w:cs="Times New Roman"/>
                <w:color w:val="00000A"/>
                <w:lang w:eastAsia="fr-FR"/>
              </w:rPr>
            </w:pPr>
            <w:r>
              <w:rPr>
                <w:rFonts w:ascii="Times New Roman" w:eastAsia="Lucida Sans Unicode" w:hAnsi="Times New Roman" w:cs="Tahoma"/>
                <w:color w:val="00000A"/>
                <w:lang w:eastAsia="fr-FR"/>
              </w:rPr>
              <w:t>3) L</w:t>
            </w:r>
            <w:r w:rsidR="001F594E" w:rsidRPr="001F594E">
              <w:rPr>
                <w:rFonts w:ascii="Times New Roman" w:eastAsia="Lucida Sans Unicode" w:hAnsi="Times New Roman" w:cs="Tahoma"/>
                <w:color w:val="00000A"/>
                <w:lang w:eastAsia="fr-FR"/>
              </w:rPr>
              <w:t xml:space="preserve">es dérogations ne concernent pas le thiaclopride, qui est une substance préoccupante présentant un critère d'exclusion au regard du Règlement 1107/2009 (classification harmonisée </w:t>
            </w:r>
            <w:r w:rsidR="001F594E" w:rsidRPr="001F594E">
              <w:rPr>
                <w:rFonts w:ascii="Times New Roman" w:eastAsia="Lucida Sans Unicode" w:hAnsi="Times New Roman" w:cs="Times New Roman"/>
                <w:color w:val="00000A"/>
                <w:lang w:eastAsia="fr-FR"/>
              </w:rPr>
              <w:t xml:space="preserve">reprotoxique de catégorie 1). Conformément aux orientations du Plan national d'actions sur les produits phytopharmaceutiques et une agriculture moins dépendante aux pesticides présenté le 25 avril 2018, cette substance ne doit plus faire l'objet d'une utilisation.    </w:t>
            </w:r>
          </w:p>
          <w:p w:rsidR="004C1974" w:rsidRPr="001F594E" w:rsidRDefault="004C1974" w:rsidP="00835E0E">
            <w:pPr>
              <w:spacing w:after="0" w:line="276" w:lineRule="auto"/>
              <w:jc w:val="both"/>
              <w:rPr>
                <w:rFonts w:ascii="Liberation Sans" w:eastAsia="Lucida Sans Unicode" w:hAnsi="Liberation Sans" w:cs="Tahoma"/>
                <w:color w:val="00000A"/>
                <w:lang w:eastAsia="fr-FR"/>
              </w:rPr>
            </w:pPr>
          </w:p>
          <w:p w:rsidR="003253F9" w:rsidRDefault="003253F9" w:rsidP="00835E0E">
            <w:pPr>
              <w:widowControl w:val="0"/>
              <w:spacing w:after="0" w:line="276" w:lineRule="auto"/>
              <w:jc w:val="both"/>
              <w:rPr>
                <w:rFonts w:ascii="Times New Roman" w:eastAsia="Lucida Sans Unicode" w:hAnsi="Times New Roman" w:cs="Times New Roman"/>
                <w:color w:val="00000A"/>
                <w:lang w:eastAsia="fr-FR"/>
              </w:rPr>
            </w:pPr>
            <w:r>
              <w:rPr>
                <w:rFonts w:ascii="Times New Roman" w:eastAsia="Lucida Sans Unicode" w:hAnsi="Times New Roman" w:cs="Times New Roman"/>
                <w:color w:val="00000A"/>
                <w:lang w:eastAsia="fr-FR"/>
              </w:rPr>
              <w:t>4) L</w:t>
            </w:r>
            <w:r w:rsidR="001F594E" w:rsidRPr="001F594E">
              <w:rPr>
                <w:rFonts w:ascii="Times New Roman" w:eastAsia="Lucida Sans Unicode" w:hAnsi="Times New Roman" w:cs="Times New Roman"/>
                <w:color w:val="00000A"/>
                <w:lang w:eastAsia="fr-FR"/>
              </w:rPr>
              <w:t xml:space="preserve">es dérogations </w:t>
            </w:r>
            <w:r>
              <w:rPr>
                <w:rFonts w:ascii="Times New Roman" w:eastAsia="Lucida Sans Unicode" w:hAnsi="Times New Roman" w:cs="Times New Roman"/>
                <w:color w:val="00000A"/>
                <w:lang w:eastAsia="fr-FR"/>
              </w:rPr>
              <w:t xml:space="preserve">sont limitées aux </w:t>
            </w:r>
            <w:r w:rsidR="001F594E" w:rsidRPr="001F594E">
              <w:rPr>
                <w:rFonts w:ascii="Times New Roman" w:eastAsia="Lucida Sans Unicode" w:hAnsi="Times New Roman" w:cs="Times New Roman"/>
                <w:color w:val="00000A"/>
                <w:lang w:eastAsia="fr-FR"/>
              </w:rPr>
              <w:t xml:space="preserve">cultures pour lesquelles les quantités de produits susceptibles d’être utilisées sont limitées compte tenu des surfaces concernées. </w:t>
            </w:r>
          </w:p>
          <w:p w:rsidR="003605D5" w:rsidRDefault="003605D5" w:rsidP="00A34525">
            <w:pPr>
              <w:spacing w:after="0" w:line="276" w:lineRule="auto"/>
              <w:jc w:val="both"/>
              <w:rPr>
                <w:rFonts w:ascii="Times New Roman" w:hAnsi="Times New Roman" w:cs="Times New Roman"/>
              </w:rPr>
            </w:pPr>
          </w:p>
        </w:tc>
      </w:tr>
      <w:tr w:rsidR="003605D5" w:rsidRPr="00A34525" w:rsidTr="002C318F">
        <w:tc>
          <w:tcPr>
            <w:tcW w:w="2208" w:type="dxa"/>
            <w:shd w:val="clear" w:color="auto" w:fill="auto"/>
            <w:tcMar>
              <w:left w:w="108" w:type="dxa"/>
            </w:tcMar>
          </w:tcPr>
          <w:p w:rsidR="00A34525" w:rsidRDefault="00A34525" w:rsidP="00A34525">
            <w:pPr>
              <w:spacing w:after="0" w:line="276" w:lineRule="auto"/>
              <w:contextualSpacing/>
              <w:jc w:val="center"/>
              <w:rPr>
                <w:rFonts w:ascii="Times New Roman" w:hAnsi="Times New Roman" w:cs="Times New Roman"/>
              </w:rPr>
            </w:pPr>
          </w:p>
          <w:p w:rsidR="003605D5" w:rsidRPr="00A34525" w:rsidRDefault="003253F9" w:rsidP="00A34525">
            <w:pPr>
              <w:spacing w:after="0" w:line="276" w:lineRule="auto"/>
              <w:contextualSpacing/>
              <w:jc w:val="center"/>
              <w:rPr>
                <w:rFonts w:ascii="Times New Roman" w:hAnsi="Times New Roman" w:cs="Times New Roman"/>
              </w:rPr>
            </w:pPr>
            <w:r w:rsidRPr="00A34525">
              <w:rPr>
                <w:rFonts w:ascii="Times New Roman" w:hAnsi="Times New Roman" w:cs="Times New Roman"/>
              </w:rPr>
              <w:t xml:space="preserve">Usages faisant l’objet d’une </w:t>
            </w:r>
            <w:r w:rsidR="00456CF6" w:rsidRPr="00A34525">
              <w:rPr>
                <w:rFonts w:ascii="Times New Roman" w:hAnsi="Times New Roman" w:cs="Times New Roman"/>
              </w:rPr>
              <w:t>dérogation</w:t>
            </w:r>
          </w:p>
        </w:tc>
        <w:tc>
          <w:tcPr>
            <w:tcW w:w="6854" w:type="dxa"/>
            <w:shd w:val="clear" w:color="auto" w:fill="auto"/>
            <w:tcMar>
              <w:left w:w="108" w:type="dxa"/>
            </w:tcMar>
          </w:tcPr>
          <w:p w:rsidR="00A34525" w:rsidRDefault="00A34525" w:rsidP="00A34525">
            <w:pPr>
              <w:widowControl w:val="0"/>
              <w:spacing w:after="0"/>
              <w:contextualSpacing/>
              <w:jc w:val="both"/>
              <w:rPr>
                <w:rFonts w:ascii="Times New Roman" w:eastAsia="Lucida Sans Unicode" w:hAnsi="Times New Roman" w:cs="Tahoma"/>
                <w:color w:val="00000A"/>
                <w:lang w:eastAsia="fr-FR"/>
              </w:rPr>
            </w:pPr>
          </w:p>
          <w:p w:rsidR="002C318F" w:rsidRPr="00D92E90" w:rsidRDefault="003253F9" w:rsidP="00D92E90">
            <w:pPr>
              <w:widowControl w:val="0"/>
              <w:spacing w:after="0" w:line="276" w:lineRule="auto"/>
              <w:contextualSpacing/>
              <w:jc w:val="both"/>
              <w:rPr>
                <w:rFonts w:ascii="Times New Roman" w:eastAsia="Lucida Sans Unicode" w:hAnsi="Times New Roman" w:cs="Tahoma"/>
                <w:color w:val="00000A"/>
                <w:lang w:eastAsia="fr-FR"/>
              </w:rPr>
            </w:pPr>
            <w:r w:rsidRPr="00D92E90">
              <w:rPr>
                <w:rFonts w:ascii="Times New Roman" w:eastAsia="Lucida Sans Unicode" w:hAnsi="Times New Roman" w:cs="Tahoma"/>
                <w:color w:val="00000A"/>
                <w:lang w:eastAsia="fr-FR"/>
              </w:rPr>
              <w:t xml:space="preserve">Dans le contexte décrit ci-dessus, l’arrêté </w:t>
            </w:r>
            <w:r w:rsidR="002C318F" w:rsidRPr="00D92E90">
              <w:rPr>
                <w:rFonts w:ascii="Times New Roman" w:eastAsia="Lucida Sans Unicode" w:hAnsi="Times New Roman" w:cs="Times New Roman"/>
                <w:color w:val="00000A"/>
                <w:lang w:eastAsia="fr-FR"/>
              </w:rPr>
              <w:t>autorise l'utilisation jusqu'au 1</w:t>
            </w:r>
            <w:r w:rsidR="002C318F" w:rsidRPr="00D92E90">
              <w:rPr>
                <w:rFonts w:ascii="Times New Roman" w:eastAsia="Lucida Sans Unicode" w:hAnsi="Times New Roman" w:cs="Times New Roman"/>
                <w:color w:val="00000A"/>
                <w:vertAlign w:val="superscript"/>
                <w:lang w:eastAsia="fr-FR"/>
              </w:rPr>
              <w:t>er</w:t>
            </w:r>
            <w:r w:rsidR="002C318F" w:rsidRPr="00D92E90">
              <w:rPr>
                <w:rFonts w:ascii="Times New Roman" w:eastAsia="Lucida Sans Unicode" w:hAnsi="Times New Roman" w:cs="Times New Roman"/>
                <w:color w:val="00000A"/>
                <w:lang w:eastAsia="fr-FR"/>
              </w:rPr>
              <w:t xml:space="preserve"> juillet 2020 de produits phytopharmaceutiques à base d'acétamipride pour lutter contre le balanin de la noisette, les mouches du figuier et </w:t>
            </w:r>
            <w:r w:rsidR="002C318F" w:rsidRPr="00D92E90">
              <w:rPr>
                <w:rFonts w:ascii="Times New Roman" w:eastAsia="Lucida Sans Unicode" w:hAnsi="Times New Roman" w:cs="Tahoma"/>
                <w:color w:val="00000A"/>
                <w:lang w:eastAsia="fr-FR"/>
              </w:rPr>
              <w:t xml:space="preserve">les pucerons du navet. </w:t>
            </w:r>
          </w:p>
          <w:p w:rsidR="00E83D3E" w:rsidRDefault="00E83D3E" w:rsidP="002C318F">
            <w:pPr>
              <w:widowControl w:val="0"/>
              <w:spacing w:after="0"/>
              <w:contextualSpacing/>
              <w:jc w:val="both"/>
              <w:rPr>
                <w:rFonts w:ascii="Times New Roman" w:eastAsia="Lucida Sans Unicode" w:hAnsi="Times New Roman" w:cs="Tahoma"/>
                <w:color w:val="00000A"/>
                <w:sz w:val="24"/>
                <w:szCs w:val="24"/>
                <w:lang w:eastAsia="fr-FR"/>
              </w:rPr>
            </w:pPr>
          </w:p>
          <w:p w:rsidR="00E83D3E" w:rsidRPr="00D92E90" w:rsidRDefault="00E83D3E" w:rsidP="00D92E90">
            <w:pPr>
              <w:widowControl w:val="0"/>
              <w:spacing w:after="0" w:line="276" w:lineRule="auto"/>
              <w:contextualSpacing/>
              <w:jc w:val="both"/>
              <w:rPr>
                <w:rFonts w:ascii="Times New Roman" w:hAnsi="Times New Roman" w:cs="Times New Roman"/>
              </w:rPr>
            </w:pPr>
            <w:r w:rsidRPr="00D92E90">
              <w:rPr>
                <w:rFonts w:ascii="Times New Roman" w:eastAsia="Lucida Sans Unicode" w:hAnsi="Times New Roman" w:cs="Tahoma"/>
                <w:color w:val="00000A"/>
                <w:lang w:eastAsia="fr-FR"/>
              </w:rPr>
              <w:t xml:space="preserve">Les cultures mentionnées dans les observations </w:t>
            </w:r>
            <w:r w:rsidR="00582812" w:rsidRPr="00D92E90">
              <w:rPr>
                <w:rFonts w:ascii="Times New Roman" w:eastAsia="Lucida Sans Unicode" w:hAnsi="Times New Roman" w:cs="Tahoma"/>
                <w:color w:val="00000A"/>
                <w:lang w:eastAsia="fr-FR"/>
              </w:rPr>
              <w:t xml:space="preserve">transmises </w:t>
            </w:r>
            <w:r w:rsidRPr="00D92E90">
              <w:rPr>
                <w:rFonts w:ascii="Times New Roman" w:eastAsia="Lucida Sans Unicode" w:hAnsi="Times New Roman" w:cs="Tahoma"/>
                <w:color w:val="00000A"/>
                <w:lang w:eastAsia="fr-FR"/>
              </w:rPr>
              <w:t>(</w:t>
            </w:r>
            <w:r w:rsidRPr="00D92E90">
              <w:rPr>
                <w:rFonts w:ascii="Times New Roman" w:hAnsi="Times New Roman" w:cs="Times New Roman"/>
              </w:rPr>
              <w:t xml:space="preserve">betteraves, maïs grains, salades, pommes et végétaux d’ornements) ne répondent pas aux critères énumérés ci-dessus, même s’il n’existe actuellement </w:t>
            </w:r>
            <w:r w:rsidR="00582812" w:rsidRPr="00D92E90">
              <w:rPr>
                <w:rFonts w:ascii="Times New Roman" w:hAnsi="Times New Roman" w:cs="Times New Roman"/>
              </w:rPr>
              <w:t xml:space="preserve">qu’un nombre limité d’alternatives chimiques autorisées </w:t>
            </w:r>
            <w:r w:rsidRPr="00D92E90">
              <w:rPr>
                <w:rFonts w:ascii="Times New Roman" w:hAnsi="Times New Roman" w:cs="Times New Roman"/>
              </w:rPr>
              <w:t>pour un certain nombre de ces cultures</w:t>
            </w:r>
            <w:r w:rsidR="00582812" w:rsidRPr="00D92E90">
              <w:rPr>
                <w:rFonts w:ascii="Times New Roman" w:hAnsi="Times New Roman" w:cs="Times New Roman"/>
              </w:rPr>
              <w:t>.</w:t>
            </w:r>
            <w:r w:rsidRPr="00D92E90">
              <w:rPr>
                <w:rFonts w:ascii="Times New Roman" w:hAnsi="Times New Roman" w:cs="Times New Roman"/>
              </w:rPr>
              <w:t xml:space="preserve"> </w:t>
            </w:r>
          </w:p>
          <w:p w:rsidR="00E83D3E" w:rsidRDefault="00E83D3E" w:rsidP="002C318F">
            <w:pPr>
              <w:widowControl w:val="0"/>
              <w:spacing w:after="0"/>
              <w:contextualSpacing/>
              <w:jc w:val="both"/>
              <w:rPr>
                <w:rFonts w:ascii="Times New Roman" w:hAnsi="Times New Roman" w:cs="Times New Roman"/>
              </w:rPr>
            </w:pPr>
          </w:p>
          <w:p w:rsidR="00E83D3E" w:rsidRDefault="00E76514" w:rsidP="00D92E90">
            <w:pPr>
              <w:widowControl w:val="0"/>
              <w:spacing w:after="0" w:line="276" w:lineRule="auto"/>
              <w:contextualSpacing/>
              <w:jc w:val="both"/>
              <w:rPr>
                <w:rFonts w:ascii="Times New Roman" w:eastAsia="Lucida Sans Unicode" w:hAnsi="Times New Roman" w:cs="Tahoma"/>
                <w:color w:val="00000A"/>
                <w:sz w:val="24"/>
                <w:szCs w:val="24"/>
                <w:lang w:eastAsia="fr-FR"/>
              </w:rPr>
            </w:pPr>
            <w:r>
              <w:rPr>
                <w:rFonts w:ascii="Times New Roman" w:hAnsi="Times New Roman" w:cs="Times New Roman"/>
              </w:rPr>
              <w:t>Par ailleurs, il est rappelé que, c</w:t>
            </w:r>
            <w:r w:rsidR="00E83D3E">
              <w:rPr>
                <w:rFonts w:ascii="Times New Roman" w:hAnsi="Times New Roman" w:cs="Times New Roman"/>
              </w:rPr>
              <w:t xml:space="preserve">ompte tenu de la nécessité de protéger les cultures, le ministère de l’agriculture </w:t>
            </w:r>
            <w:r>
              <w:rPr>
                <w:rFonts w:ascii="Times New Roman" w:hAnsi="Times New Roman" w:cs="Times New Roman"/>
              </w:rPr>
              <w:t>a</w:t>
            </w:r>
            <w:r w:rsidR="00E83D3E">
              <w:rPr>
                <w:rFonts w:ascii="Times New Roman" w:hAnsi="Times New Roman" w:cs="Times New Roman"/>
              </w:rPr>
              <w:t xml:space="preserve"> la possibilité d’autoriser par voie de dérogation conformément à l’article 53 du Règlement 1107/2009, pour une durée n’excédant pas 120 jours, des produits de traitement (autres que néonicotinoïdes) permettant de répondre aux urgences phytosanitaires</w:t>
            </w:r>
            <w:r w:rsidR="00582812">
              <w:rPr>
                <w:rFonts w:ascii="Times New Roman" w:hAnsi="Times New Roman" w:cs="Times New Roman"/>
              </w:rPr>
              <w:t xml:space="preserve"> identifiées</w:t>
            </w:r>
            <w:r w:rsidR="00E83D3E">
              <w:rPr>
                <w:rFonts w:ascii="Times New Roman" w:hAnsi="Times New Roman" w:cs="Times New Roman"/>
              </w:rPr>
              <w:t xml:space="preserve">.  </w:t>
            </w:r>
          </w:p>
          <w:p w:rsidR="003605D5" w:rsidRPr="004C1974" w:rsidRDefault="003605D5" w:rsidP="004C1974">
            <w:pPr>
              <w:spacing w:after="0" w:line="276" w:lineRule="auto"/>
              <w:jc w:val="both"/>
              <w:rPr>
                <w:rFonts w:ascii="Times New Roman" w:hAnsi="Times New Roman" w:cs="Times New Roman"/>
              </w:rPr>
            </w:pPr>
          </w:p>
        </w:tc>
      </w:tr>
      <w:tr w:rsidR="003605D5" w:rsidRPr="00A34525" w:rsidTr="002C318F">
        <w:tc>
          <w:tcPr>
            <w:tcW w:w="2208" w:type="dxa"/>
            <w:shd w:val="clear" w:color="auto" w:fill="auto"/>
            <w:tcMar>
              <w:left w:w="108" w:type="dxa"/>
            </w:tcMar>
          </w:tcPr>
          <w:p w:rsidR="003605D5" w:rsidRPr="00A34525" w:rsidRDefault="003605D5">
            <w:pPr>
              <w:spacing w:after="0" w:line="276" w:lineRule="auto"/>
              <w:jc w:val="center"/>
              <w:rPr>
                <w:rFonts w:ascii="Times New Roman" w:hAnsi="Times New Roman" w:cs="Times New Roman"/>
              </w:rPr>
            </w:pPr>
          </w:p>
          <w:p w:rsidR="003605D5" w:rsidRPr="00A34525" w:rsidRDefault="004C1974">
            <w:pPr>
              <w:spacing w:after="0" w:line="276" w:lineRule="auto"/>
              <w:jc w:val="center"/>
              <w:rPr>
                <w:rFonts w:ascii="Times New Roman" w:hAnsi="Times New Roman" w:cs="Times New Roman"/>
              </w:rPr>
            </w:pPr>
            <w:r>
              <w:rPr>
                <w:rFonts w:ascii="Times New Roman" w:hAnsi="Times New Roman" w:cs="Times New Roman"/>
              </w:rPr>
              <w:t>Lister dans l’arrêté les pro</w:t>
            </w:r>
            <w:r w:rsidR="001F594E" w:rsidRPr="00A34525">
              <w:rPr>
                <w:rFonts w:ascii="Times New Roman" w:hAnsi="Times New Roman" w:cs="Times New Roman"/>
              </w:rPr>
              <w:t>duits phytopharmaceutiques faisant l’objet d’une dérogation</w:t>
            </w:r>
          </w:p>
          <w:p w:rsidR="001F594E" w:rsidRPr="00A34525" w:rsidRDefault="001F594E">
            <w:pPr>
              <w:spacing w:after="0" w:line="276" w:lineRule="auto"/>
              <w:jc w:val="center"/>
              <w:rPr>
                <w:rFonts w:ascii="Times New Roman" w:hAnsi="Times New Roman" w:cs="Times New Roman"/>
              </w:rPr>
            </w:pPr>
          </w:p>
          <w:p w:rsidR="001F594E" w:rsidRPr="00A34525" w:rsidRDefault="001F594E">
            <w:pPr>
              <w:spacing w:after="0" w:line="276" w:lineRule="auto"/>
              <w:jc w:val="center"/>
              <w:rPr>
                <w:rFonts w:ascii="Times New Roman" w:hAnsi="Times New Roman" w:cs="Times New Roman"/>
              </w:rPr>
            </w:pPr>
          </w:p>
          <w:p w:rsidR="003605D5" w:rsidRPr="00A34525" w:rsidRDefault="003605D5" w:rsidP="007C5235">
            <w:pPr>
              <w:spacing w:after="0" w:line="276" w:lineRule="auto"/>
              <w:jc w:val="center"/>
              <w:rPr>
                <w:rFonts w:ascii="Times New Roman" w:hAnsi="Times New Roman" w:cs="Times New Roman"/>
              </w:rPr>
            </w:pPr>
          </w:p>
        </w:tc>
        <w:tc>
          <w:tcPr>
            <w:tcW w:w="6854" w:type="dxa"/>
            <w:shd w:val="clear" w:color="auto" w:fill="auto"/>
            <w:tcMar>
              <w:left w:w="108" w:type="dxa"/>
            </w:tcMar>
          </w:tcPr>
          <w:p w:rsidR="004C1974" w:rsidRDefault="004C1974" w:rsidP="002C318F">
            <w:pPr>
              <w:spacing w:after="0" w:line="276" w:lineRule="auto"/>
              <w:contextualSpacing/>
              <w:jc w:val="both"/>
              <w:rPr>
                <w:rFonts w:ascii="Times New Roman" w:hAnsi="Times New Roman" w:cs="Times New Roman"/>
              </w:rPr>
            </w:pPr>
          </w:p>
          <w:p w:rsidR="002C318F" w:rsidRPr="00D92E90" w:rsidRDefault="002C318F" w:rsidP="00D92E90">
            <w:pPr>
              <w:spacing w:after="0" w:line="276" w:lineRule="auto"/>
              <w:contextualSpacing/>
              <w:jc w:val="both"/>
              <w:rPr>
                <w:rFonts w:ascii="Times New Roman" w:hAnsi="Times New Roman" w:cs="Times New Roman"/>
              </w:rPr>
            </w:pPr>
            <w:r w:rsidRPr="00D92E90">
              <w:rPr>
                <w:rFonts w:ascii="Times New Roman" w:hAnsi="Times New Roman" w:cs="Times New Roman"/>
              </w:rPr>
              <w:t>Il n’est pas possible de lister les produits phytopharmaceutiques concernés par la dérogation dans cet arrêté</w:t>
            </w:r>
            <w:r w:rsidR="004C1974" w:rsidRPr="00D92E90">
              <w:rPr>
                <w:rFonts w:ascii="Times New Roman" w:hAnsi="Times New Roman" w:cs="Times New Roman"/>
              </w:rPr>
              <w:t>,</w:t>
            </w:r>
            <w:r w:rsidRPr="00D92E90">
              <w:rPr>
                <w:rFonts w:ascii="Times New Roman" w:hAnsi="Times New Roman" w:cs="Times New Roman"/>
              </w:rPr>
              <w:t xml:space="preserve"> car les autorisations de marché qui sont actuellement en vigueur pourraient être modifiées ou retirées </w:t>
            </w:r>
            <w:r w:rsidR="00582812" w:rsidRPr="00D92E90">
              <w:rPr>
                <w:rFonts w:ascii="Times New Roman" w:hAnsi="Times New Roman" w:cs="Times New Roman"/>
              </w:rPr>
              <w:t xml:space="preserve">pendant la période d’application de l’arrêté, </w:t>
            </w:r>
            <w:r w:rsidR="004C1974" w:rsidRPr="00D92E90">
              <w:rPr>
                <w:rFonts w:ascii="Times New Roman" w:hAnsi="Times New Roman" w:cs="Times New Roman"/>
              </w:rPr>
              <w:t>par exemple à la demande du t</w:t>
            </w:r>
            <w:r w:rsidRPr="00D92E90">
              <w:rPr>
                <w:rFonts w:ascii="Times New Roman" w:hAnsi="Times New Roman" w:cs="Times New Roman"/>
              </w:rPr>
              <w:t>itulaire d</w:t>
            </w:r>
            <w:r w:rsidR="004C1974" w:rsidRPr="00D92E90">
              <w:rPr>
                <w:rFonts w:ascii="Times New Roman" w:hAnsi="Times New Roman" w:cs="Times New Roman"/>
              </w:rPr>
              <w:t xml:space="preserve">’une autorisation de mise sur le marché. </w:t>
            </w:r>
            <w:r w:rsidR="00582812" w:rsidRPr="00D92E90">
              <w:rPr>
                <w:rFonts w:ascii="Times New Roman" w:hAnsi="Times New Roman" w:cs="Times New Roman"/>
              </w:rPr>
              <w:t xml:space="preserve">Par conséquent, l’arrêté fait référence aux produits à base d’acétamipride disposant d’une autorisation de mise sur le marché en vigueur pour les usages considérés. </w:t>
            </w:r>
          </w:p>
          <w:p w:rsidR="004C1974" w:rsidRPr="00D92E90" w:rsidRDefault="004C1974" w:rsidP="00D92E90">
            <w:pPr>
              <w:spacing w:after="0" w:line="276" w:lineRule="auto"/>
              <w:contextualSpacing/>
              <w:jc w:val="both"/>
              <w:rPr>
                <w:rFonts w:ascii="Times New Roman" w:hAnsi="Times New Roman" w:cs="Times New Roman"/>
              </w:rPr>
            </w:pPr>
          </w:p>
          <w:p w:rsidR="004C1974" w:rsidRPr="00D92E90" w:rsidRDefault="004C1974" w:rsidP="00D92E90">
            <w:pPr>
              <w:spacing w:after="0" w:line="276" w:lineRule="auto"/>
              <w:contextualSpacing/>
              <w:jc w:val="both"/>
              <w:rPr>
                <w:rFonts w:ascii="Times New Roman" w:hAnsi="Times New Roman" w:cs="Times New Roman"/>
              </w:rPr>
            </w:pPr>
            <w:r w:rsidRPr="00D92E90">
              <w:rPr>
                <w:rFonts w:ascii="Times New Roman" w:hAnsi="Times New Roman" w:cs="Times New Roman"/>
              </w:rPr>
              <w:t xml:space="preserve">Les produits concernés </w:t>
            </w:r>
            <w:r w:rsidR="00E83D3E" w:rsidRPr="00D92E90">
              <w:rPr>
                <w:rFonts w:ascii="Times New Roman" w:hAnsi="Times New Roman" w:cs="Times New Roman"/>
              </w:rPr>
              <w:t>par la dérogation sont les produits qui bénéficient d’une autorisation de mise sur le marché en vigueur au jour de leur utilisation, tels que f</w:t>
            </w:r>
            <w:r w:rsidRPr="00D92E90">
              <w:rPr>
                <w:rFonts w:ascii="Times New Roman" w:hAnsi="Times New Roman" w:cs="Times New Roman"/>
              </w:rPr>
              <w:t>igur</w:t>
            </w:r>
            <w:r w:rsidR="00E83D3E" w:rsidRPr="00D92E90">
              <w:rPr>
                <w:rFonts w:ascii="Times New Roman" w:hAnsi="Times New Roman" w:cs="Times New Roman"/>
              </w:rPr>
              <w:t>a</w:t>
            </w:r>
            <w:r w:rsidRPr="00D92E90">
              <w:rPr>
                <w:rFonts w:ascii="Times New Roman" w:hAnsi="Times New Roman" w:cs="Times New Roman"/>
              </w:rPr>
              <w:t>nt sur le site ephy de l’Anses (</w:t>
            </w:r>
            <w:hyperlink r:id="rId7" w:history="1">
              <w:r w:rsidR="00B27E2C" w:rsidRPr="00D92E90">
                <w:rPr>
                  <w:rStyle w:val="Lienhypertexte"/>
                  <w:rFonts w:ascii="Times New Roman" w:hAnsi="Times New Roman" w:cs="Times New Roman"/>
                </w:rPr>
                <w:t>https://ephy.anses.fr/</w:t>
              </w:r>
            </w:hyperlink>
            <w:r w:rsidRPr="00D92E90">
              <w:rPr>
                <w:rFonts w:ascii="Times New Roman" w:hAnsi="Times New Roman" w:cs="Times New Roman"/>
              </w:rPr>
              <w:t>).</w:t>
            </w:r>
            <w:r w:rsidR="00B27E2C" w:rsidRPr="00D92E90">
              <w:rPr>
                <w:rFonts w:ascii="Times New Roman" w:hAnsi="Times New Roman" w:cs="Times New Roman"/>
              </w:rPr>
              <w:t xml:space="preserve"> </w:t>
            </w:r>
          </w:p>
          <w:p w:rsidR="003605D5" w:rsidRPr="00A34525" w:rsidRDefault="003605D5" w:rsidP="00E83D3E">
            <w:pPr>
              <w:spacing w:after="0"/>
              <w:rPr>
                <w:rFonts w:ascii="Times New Roman" w:hAnsi="Times New Roman" w:cs="Times New Roman"/>
              </w:rPr>
            </w:pPr>
          </w:p>
        </w:tc>
      </w:tr>
    </w:tbl>
    <w:p w:rsidR="003605D5" w:rsidRDefault="00CA7B64">
      <w:pPr>
        <w:spacing w:line="276" w:lineRule="auto"/>
        <w:jc w:val="both"/>
        <w:rPr>
          <w:rFonts w:ascii="Times New Roman" w:hAnsi="Times New Roman" w:cs="Times New Roman"/>
        </w:rPr>
      </w:pPr>
      <w:r w:rsidRPr="00A34525">
        <w:rPr>
          <w:rFonts w:ascii="Times New Roman" w:hAnsi="Times New Roman" w:cs="Times New Roman"/>
        </w:rPr>
        <w:t xml:space="preserve"> </w:t>
      </w:r>
    </w:p>
    <w:p w:rsidR="00271580" w:rsidRDefault="00271580" w:rsidP="00271580">
      <w:pPr>
        <w:spacing w:line="276" w:lineRule="auto"/>
        <w:jc w:val="both"/>
        <w:rPr>
          <w:rFonts w:ascii="Times New Roman" w:hAnsi="Times New Roman" w:cs="Times New Roman"/>
        </w:rPr>
      </w:pPr>
      <w:r>
        <w:rPr>
          <w:rFonts w:ascii="Times New Roman" w:hAnsi="Times New Roman" w:cs="Times New Roman"/>
          <w:bCs/>
        </w:rPr>
        <w:t>Au terme de cet exercice</w:t>
      </w:r>
      <w:r w:rsidR="00B27E2C">
        <w:rPr>
          <w:rFonts w:ascii="Times New Roman" w:hAnsi="Times New Roman" w:cs="Times New Roman"/>
          <w:bCs/>
        </w:rPr>
        <w:t xml:space="preserve"> d’analyse des observations</w:t>
      </w:r>
      <w:r>
        <w:rPr>
          <w:rFonts w:ascii="Times New Roman" w:hAnsi="Times New Roman" w:cs="Times New Roman"/>
          <w:bCs/>
        </w:rPr>
        <w:t>, il n’est pas apporté de modification au projet d’arrêté mis à la consultation.</w:t>
      </w:r>
    </w:p>
    <w:p w:rsidR="00271580" w:rsidRDefault="00271580">
      <w:pPr>
        <w:spacing w:line="276" w:lineRule="auto"/>
        <w:jc w:val="both"/>
        <w:rPr>
          <w:rFonts w:ascii="Times New Roman" w:hAnsi="Times New Roman" w:cs="Times New Roman"/>
        </w:rPr>
      </w:pPr>
    </w:p>
    <w:p w:rsidR="00271580" w:rsidRPr="00A34525" w:rsidRDefault="00271580">
      <w:pPr>
        <w:spacing w:line="276" w:lineRule="auto"/>
        <w:jc w:val="both"/>
      </w:pPr>
    </w:p>
    <w:sectPr w:rsidR="00271580" w:rsidRPr="00A34525">
      <w:headerReference w:type="default" r:id="rId8"/>
      <w:pgSz w:w="11906" w:h="16838"/>
      <w:pgMar w:top="1417" w:right="1417" w:bottom="1417" w:left="1417" w:header="708"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9FA" w:rsidRDefault="00F519FA">
      <w:pPr>
        <w:spacing w:after="0" w:line="240" w:lineRule="auto"/>
      </w:pPr>
      <w:r>
        <w:separator/>
      </w:r>
    </w:p>
  </w:endnote>
  <w:endnote w:type="continuationSeparator" w:id="0">
    <w:p w:rsidR="00F519FA" w:rsidRDefault="00F51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9FA" w:rsidRDefault="00F519FA">
      <w:pPr>
        <w:spacing w:after="0" w:line="240" w:lineRule="auto"/>
      </w:pPr>
      <w:r>
        <w:separator/>
      </w:r>
    </w:p>
  </w:footnote>
  <w:footnote w:type="continuationSeparator" w:id="0">
    <w:p w:rsidR="00F519FA" w:rsidRDefault="00F519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E90" w:rsidRDefault="00D92E90" w:rsidP="00D92E90">
    <w:pPr>
      <w:keepNext/>
      <w:tabs>
        <w:tab w:val="center" w:pos="4536"/>
        <w:tab w:val="left" w:pos="6210"/>
      </w:tabs>
      <w:spacing w:after="200" w:line="240" w:lineRule="auto"/>
      <w:outlineLvl w:val="0"/>
      <w:rPr>
        <w:rFonts w:ascii="Times New Roman" w:eastAsia="Times New Roman" w:hAnsi="Times New Roman" w:cs="Arial"/>
        <w:bCs/>
        <w:smallCaps/>
        <w:sz w:val="20"/>
        <w:szCs w:val="20"/>
        <w:lang w:eastAsia="fr-FR"/>
      </w:rPr>
    </w:pPr>
    <w:r>
      <w:tab/>
    </w:r>
    <w:r w:rsidRPr="005E35F6">
      <w:rPr>
        <w:rFonts w:ascii="Times New Roman" w:eastAsia="Times New Roman" w:hAnsi="Times New Roman" w:cs="Arial"/>
        <w:bCs/>
        <w:smallCaps/>
        <w:sz w:val="20"/>
        <w:szCs w:val="20"/>
        <w:lang w:eastAsia="fr-FR"/>
      </w:rPr>
      <w:object w:dxaOrig="1680"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49.5pt">
          <v:imagedata r:id="rId1" o:title="" croptop="6070f" cropbottom="37029f" cropleft="8173f" cropright="8340f"/>
        </v:shape>
        <o:OLEObject Type="Embed" ProgID="Word.Picture.8" ShapeID="_x0000_i1025" DrawAspect="Content" ObjectID="_1618641435" r:id="rId2"/>
      </w:object>
    </w:r>
  </w:p>
  <w:p w:rsidR="00D92E90" w:rsidRDefault="00D92E90" w:rsidP="00D92E90">
    <w:pPr>
      <w:keepNext/>
      <w:spacing w:after="0" w:line="240" w:lineRule="auto"/>
      <w:jc w:val="center"/>
      <w:outlineLvl w:val="0"/>
      <w:rPr>
        <w:rFonts w:ascii="Times New Roman" w:eastAsia="Times New Roman" w:hAnsi="Times New Roman" w:cs="Times New Roman"/>
        <w:smallCaps/>
        <w:sz w:val="20"/>
        <w:szCs w:val="20"/>
        <w:lang w:eastAsia="fr-FR"/>
      </w:rPr>
    </w:pPr>
    <w:r>
      <w:rPr>
        <w:rFonts w:ascii="Times New Roman" w:eastAsia="Times New Roman" w:hAnsi="Times New Roman" w:cs="Arial"/>
        <w:bCs/>
        <w:sz w:val="20"/>
        <w:szCs w:val="20"/>
        <w:lang w:eastAsia="fr-FR"/>
      </w:rPr>
      <w:t>MINISTÈRE DE L’AGRICULTURE</w:t>
    </w:r>
    <w:r>
      <w:rPr>
        <w:rFonts w:ascii="Times New Roman" w:eastAsia="Times New Roman" w:hAnsi="Times New Roman" w:cs="Times New Roman"/>
        <w:bCs/>
        <w:sz w:val="20"/>
        <w:szCs w:val="20"/>
        <w:lang w:eastAsia="fr-FR"/>
      </w:rPr>
      <w:t xml:space="preserve"> ET </w:t>
    </w:r>
    <w:r>
      <w:rPr>
        <w:rFonts w:ascii="Times New Roman" w:eastAsia="Times New Roman" w:hAnsi="Times New Roman" w:cs="Times New Roman"/>
        <w:smallCaps/>
        <w:sz w:val="20"/>
        <w:szCs w:val="20"/>
        <w:lang w:eastAsia="fr-FR"/>
      </w:rPr>
      <w:t>DE L’ALIMENTATION</w:t>
    </w:r>
  </w:p>
  <w:p w:rsidR="00D92E90" w:rsidRDefault="00D92E90" w:rsidP="00D92E90">
    <w:pPr>
      <w:keepNext/>
      <w:spacing w:after="0" w:line="240" w:lineRule="auto"/>
      <w:jc w:val="center"/>
      <w:outlineLvl w:val="0"/>
      <w:rPr>
        <w:rFonts w:ascii="Times New Roman" w:eastAsia="Times New Roman" w:hAnsi="Times New Roman" w:cs="Times New Roman"/>
        <w:smallCaps/>
        <w:sz w:val="20"/>
        <w:szCs w:val="20"/>
        <w:lang w:eastAsia="fr-FR"/>
      </w:rPr>
    </w:pPr>
    <w:r>
      <w:rPr>
        <w:rFonts w:ascii="Times New Roman" w:eastAsia="Times New Roman" w:hAnsi="Times New Roman" w:cs="Times New Roman"/>
        <w:smallCaps/>
        <w:sz w:val="20"/>
        <w:szCs w:val="20"/>
        <w:lang w:eastAsia="fr-FR"/>
      </w:rPr>
      <w:t>MINISTÈRE DE LA TRANSITION ÉCOLOGIQUE ET SOLIDAIRE</w:t>
    </w:r>
  </w:p>
  <w:p w:rsidR="00D92E90" w:rsidRDefault="00D92E90" w:rsidP="00D92E90">
    <w:pPr>
      <w:keepNext/>
      <w:spacing w:after="0" w:line="240" w:lineRule="auto"/>
      <w:jc w:val="center"/>
      <w:outlineLvl w:val="0"/>
      <w:rPr>
        <w:rFonts w:ascii="Times New Roman" w:eastAsia="Times New Roman" w:hAnsi="Times New Roman" w:cs="Times New Roman"/>
        <w:smallCaps/>
        <w:sz w:val="20"/>
        <w:szCs w:val="20"/>
        <w:lang w:eastAsia="fr-FR"/>
      </w:rPr>
    </w:pPr>
    <w:r>
      <w:rPr>
        <w:rFonts w:ascii="Times New Roman" w:eastAsia="Times New Roman" w:hAnsi="Times New Roman" w:cs="Times New Roman"/>
        <w:smallCaps/>
        <w:sz w:val="20"/>
        <w:szCs w:val="20"/>
        <w:lang w:eastAsia="fr-FR"/>
      </w:rPr>
      <w:t>MINISTÈRE DES SOLIDARITÉS ET DE LA SANTÉ</w:t>
    </w:r>
  </w:p>
  <w:p w:rsidR="003605D5" w:rsidRDefault="003605D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56B4C"/>
    <w:multiLevelType w:val="hybridMultilevel"/>
    <w:tmpl w:val="4BA4363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3F1BD8"/>
    <w:multiLevelType w:val="multilevel"/>
    <w:tmpl w:val="EDDCBB2E"/>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AAC2927"/>
    <w:multiLevelType w:val="hybridMultilevel"/>
    <w:tmpl w:val="27961562"/>
    <w:lvl w:ilvl="0" w:tplc="34AE4688">
      <w:start w:val="1"/>
      <w:numFmt w:val="decimal"/>
      <w:lvlText w:val="%1."/>
      <w:lvlJc w:val="left"/>
      <w:pPr>
        <w:ind w:left="720" w:hanging="360"/>
      </w:pPr>
      <w:rPr>
        <w:rFonts w:eastAsiaTheme="minorHAns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1F55ADE"/>
    <w:multiLevelType w:val="hybridMultilevel"/>
    <w:tmpl w:val="BA4A24D6"/>
    <w:lvl w:ilvl="0" w:tplc="9F24992C">
      <w:start w:val="1"/>
      <w:numFmt w:val="decimal"/>
      <w:lvlText w:val="%1)"/>
      <w:lvlJc w:val="left"/>
      <w:pPr>
        <w:ind w:left="720" w:hanging="360"/>
      </w:pPr>
      <w:rPr>
        <w:rFonts w:eastAsiaTheme="minorHAns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14C43D9"/>
    <w:multiLevelType w:val="multilevel"/>
    <w:tmpl w:val="20F2572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5D5"/>
    <w:rsid w:val="001F594E"/>
    <w:rsid w:val="00204461"/>
    <w:rsid w:val="00271580"/>
    <w:rsid w:val="002C318F"/>
    <w:rsid w:val="003253F9"/>
    <w:rsid w:val="003605D5"/>
    <w:rsid w:val="00380A00"/>
    <w:rsid w:val="00456CF6"/>
    <w:rsid w:val="004C1974"/>
    <w:rsid w:val="00582812"/>
    <w:rsid w:val="005A426F"/>
    <w:rsid w:val="006B00E4"/>
    <w:rsid w:val="007C5235"/>
    <w:rsid w:val="00835E0E"/>
    <w:rsid w:val="009F5287"/>
    <w:rsid w:val="00A34525"/>
    <w:rsid w:val="00B27E2C"/>
    <w:rsid w:val="00C22104"/>
    <w:rsid w:val="00CA7B64"/>
    <w:rsid w:val="00D92E90"/>
    <w:rsid w:val="00E533E4"/>
    <w:rsid w:val="00E76514"/>
    <w:rsid w:val="00E83D3E"/>
    <w:rsid w:val="00F519FA"/>
    <w:rsid w:val="00F669E3"/>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717F9D5-EFE7-4038-869A-470AC2AB1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F39"/>
    <w:pPr>
      <w:suppressAutoHyphens/>
      <w:spacing w:after="160"/>
    </w:pPr>
  </w:style>
  <w:style w:type="paragraph" w:styleId="Titre1">
    <w:name w:val="heading 1"/>
    <w:basedOn w:val="Titre"/>
    <w:pPr>
      <w:outlineLvl w:val="0"/>
    </w:pPr>
  </w:style>
  <w:style w:type="paragraph" w:styleId="Titre2">
    <w:name w:val="heading 2"/>
    <w:basedOn w:val="Titre"/>
    <w:pPr>
      <w:outlineLvl w:val="1"/>
    </w:pPr>
  </w:style>
  <w:style w:type="paragraph" w:styleId="Titre3">
    <w:name w:val="heading 3"/>
    <w:basedOn w:val="Titre"/>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3F1F39"/>
  </w:style>
  <w:style w:type="character" w:customStyle="1" w:styleId="PieddepageCar">
    <w:name w:val="Pied de page Car"/>
    <w:basedOn w:val="Policepardfaut"/>
    <w:link w:val="Pieddepage"/>
    <w:uiPriority w:val="99"/>
    <w:qFormat/>
    <w:rsid w:val="003F1F39"/>
  </w:style>
  <w:style w:type="character" w:customStyle="1" w:styleId="LienInternet">
    <w:name w:val="Lien Internet"/>
    <w:basedOn w:val="Policepardfaut"/>
    <w:uiPriority w:val="99"/>
    <w:semiHidden/>
    <w:unhideWhenUsed/>
    <w:rsid w:val="003F1F39"/>
    <w:rPr>
      <w:color w:val="0000FF"/>
      <w:u w:val="single"/>
    </w:rPr>
  </w:style>
  <w:style w:type="character" w:customStyle="1" w:styleId="ListLabel1">
    <w:name w:val="ListLabel 1"/>
    <w:qFormat/>
    <w:rPr>
      <w:rFonts w:ascii="Times New Roman" w:eastAsia="Calibri" w:hAnsi="Times New Roman" w:cs="Times New Roman"/>
    </w:rPr>
  </w:style>
  <w:style w:type="character" w:customStyle="1" w:styleId="ListLabel2">
    <w:name w:val="ListLabel 2"/>
    <w:qFormat/>
    <w:rPr>
      <w:rFonts w:cs="Courier New"/>
    </w:rPr>
  </w:style>
  <w:style w:type="character" w:customStyle="1" w:styleId="ListLabel3">
    <w:name w:val="ListLabel 3"/>
    <w:qFormat/>
    <w:rPr>
      <w:rFonts w:eastAsia="Calibri"/>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ascii="Liberation Sans" w:hAnsi="Liberation Sans" w:cs="Mangal"/>
    </w:rPr>
  </w:style>
  <w:style w:type="paragraph" w:styleId="Lgende">
    <w:name w:val="caption"/>
    <w:basedOn w:val="Normal"/>
    <w:pPr>
      <w:suppressLineNumbers/>
      <w:spacing w:before="120" w:after="120"/>
    </w:pPr>
    <w:rPr>
      <w:rFonts w:ascii="Liberation Sans" w:hAnsi="Liberation Sans" w:cs="Mangal"/>
      <w:i/>
      <w:iCs/>
      <w:sz w:val="24"/>
      <w:szCs w:val="24"/>
    </w:rPr>
  </w:style>
  <w:style w:type="paragraph" w:customStyle="1" w:styleId="Index">
    <w:name w:val="Index"/>
    <w:basedOn w:val="Normal"/>
    <w:qFormat/>
    <w:pPr>
      <w:suppressLineNumbers/>
    </w:pPr>
    <w:rPr>
      <w:rFonts w:ascii="Liberation Sans" w:hAnsi="Liberation Sans" w:cs="Mangal"/>
    </w:rPr>
  </w:style>
  <w:style w:type="paragraph" w:styleId="En-tte">
    <w:name w:val="header"/>
    <w:basedOn w:val="Normal"/>
    <w:uiPriority w:val="99"/>
    <w:unhideWhenUsed/>
    <w:rsid w:val="003F1F39"/>
    <w:pPr>
      <w:tabs>
        <w:tab w:val="center" w:pos="4536"/>
        <w:tab w:val="right" w:pos="9072"/>
      </w:tabs>
      <w:spacing w:after="0" w:line="240" w:lineRule="auto"/>
    </w:pPr>
  </w:style>
  <w:style w:type="paragraph" w:styleId="Pieddepage">
    <w:name w:val="footer"/>
    <w:basedOn w:val="Normal"/>
    <w:link w:val="PieddepageCar"/>
    <w:uiPriority w:val="99"/>
    <w:unhideWhenUsed/>
    <w:rsid w:val="003F1F39"/>
    <w:pPr>
      <w:tabs>
        <w:tab w:val="center" w:pos="4536"/>
        <w:tab w:val="right" w:pos="9072"/>
      </w:tabs>
      <w:spacing w:after="0" w:line="240" w:lineRule="auto"/>
    </w:pPr>
  </w:style>
  <w:style w:type="paragraph" w:customStyle="1" w:styleId="western">
    <w:name w:val="western"/>
    <w:basedOn w:val="Normal"/>
    <w:qFormat/>
    <w:rsid w:val="003F1F39"/>
    <w:pPr>
      <w:spacing w:beforeAutospacing="1" w:after="119" w:line="240" w:lineRule="auto"/>
    </w:pPr>
    <w:rPr>
      <w:rFonts w:ascii="Times New Roman" w:eastAsia="Times New Roman" w:hAnsi="Times New Roman" w:cs="Times New Roman"/>
      <w:color w:val="00000A"/>
      <w:sz w:val="24"/>
      <w:szCs w:val="24"/>
      <w:lang w:eastAsia="fr-FR"/>
    </w:rPr>
  </w:style>
  <w:style w:type="paragraph" w:styleId="Paragraphedeliste">
    <w:name w:val="List Paragraph"/>
    <w:basedOn w:val="Normal"/>
    <w:uiPriority w:val="34"/>
    <w:qFormat/>
    <w:rsid w:val="003F1F39"/>
    <w:pPr>
      <w:ind w:left="720"/>
      <w:contextualSpacing/>
    </w:pPr>
  </w:style>
  <w:style w:type="paragraph" w:customStyle="1" w:styleId="Quotations">
    <w:name w:val="Quotations"/>
    <w:basedOn w:val="Normal"/>
    <w:qFormat/>
  </w:style>
  <w:style w:type="paragraph" w:customStyle="1" w:styleId="Titreprincipal">
    <w:name w:val="Titre principal"/>
    <w:basedOn w:val="Titre"/>
  </w:style>
  <w:style w:type="paragraph" w:styleId="Sous-titre">
    <w:name w:val="Subtitle"/>
    <w:basedOn w:val="Titre"/>
  </w:style>
  <w:style w:type="table" w:styleId="Grilledutableau">
    <w:name w:val="Table Grid"/>
    <w:basedOn w:val="TableauNormal"/>
    <w:uiPriority w:val="39"/>
    <w:rsid w:val="003F1F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27E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3661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phy.anse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850</Words>
  <Characters>4679</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MAA</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FERNAGUT</dc:creator>
  <cp:lastModifiedBy>Claire FERNAGUT</cp:lastModifiedBy>
  <cp:revision>2</cp:revision>
  <dcterms:created xsi:type="dcterms:W3CDTF">2019-05-06T07:51:00Z</dcterms:created>
  <dcterms:modified xsi:type="dcterms:W3CDTF">2019-05-06T07:51:00Z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MAA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